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EA" w:rsidRPr="004807EA" w:rsidRDefault="004807EA" w:rsidP="004807EA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4807EA">
        <w:rPr>
          <w:rFonts w:ascii="Times New Roman" w:hAnsi="Times New Roman" w:cs="Times New Roman"/>
          <w:sz w:val="28"/>
        </w:rPr>
        <w:t>Паспорт</w:t>
      </w:r>
    </w:p>
    <w:p w:rsidR="004807EA" w:rsidRPr="004807EA" w:rsidRDefault="004807EA" w:rsidP="004807EA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4807EA">
        <w:rPr>
          <w:rFonts w:ascii="Times New Roman" w:hAnsi="Times New Roman" w:cs="Times New Roman"/>
          <w:sz w:val="28"/>
        </w:rPr>
        <w:t>государственной программы Ханты-Мансийского</w:t>
      </w:r>
    </w:p>
    <w:p w:rsidR="004807EA" w:rsidRPr="004807EA" w:rsidRDefault="004807EA" w:rsidP="004807EA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4807EA">
        <w:rPr>
          <w:rFonts w:ascii="Times New Roman" w:hAnsi="Times New Roman" w:cs="Times New Roman"/>
          <w:sz w:val="28"/>
        </w:rPr>
        <w:t xml:space="preserve">автономного округа - Югры "Создание условий для </w:t>
      </w:r>
      <w:proofErr w:type="gramStart"/>
      <w:r w:rsidRPr="004807EA">
        <w:rPr>
          <w:rFonts w:ascii="Times New Roman" w:hAnsi="Times New Roman" w:cs="Times New Roman"/>
          <w:sz w:val="28"/>
        </w:rPr>
        <w:t>эффективного</w:t>
      </w:r>
      <w:proofErr w:type="gramEnd"/>
    </w:p>
    <w:p w:rsidR="004807EA" w:rsidRPr="004807EA" w:rsidRDefault="004807EA" w:rsidP="004807EA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4807EA">
        <w:rPr>
          <w:rFonts w:ascii="Times New Roman" w:hAnsi="Times New Roman" w:cs="Times New Roman"/>
          <w:sz w:val="28"/>
        </w:rPr>
        <w:t>управления муниципальными финансами</w:t>
      </w:r>
      <w:r>
        <w:rPr>
          <w:rFonts w:ascii="Times New Roman" w:hAnsi="Times New Roman" w:cs="Times New Roman"/>
          <w:sz w:val="28"/>
        </w:rPr>
        <w:t>"</w:t>
      </w:r>
    </w:p>
    <w:p w:rsidR="004807EA" w:rsidRPr="004807EA" w:rsidRDefault="004807EA" w:rsidP="004807EA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4807EA">
        <w:rPr>
          <w:rFonts w:ascii="Times New Roman" w:hAnsi="Times New Roman" w:cs="Times New Roman"/>
          <w:sz w:val="28"/>
        </w:rPr>
        <w:t>(далее - государственная программа)</w:t>
      </w:r>
    </w:p>
    <w:p w:rsidR="004807EA" w:rsidRPr="004807EA" w:rsidRDefault="004807EA" w:rsidP="004807EA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W w:w="978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7571"/>
      </w:tblGrid>
      <w:tr w:rsidR="004807EA" w:rsidRPr="004807EA" w:rsidTr="007009CA">
        <w:tc>
          <w:tcPr>
            <w:tcW w:w="221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571" w:type="dxa"/>
          </w:tcPr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управления муниципальными финансами</w:t>
            </w:r>
          </w:p>
        </w:tc>
      </w:tr>
      <w:tr w:rsidR="004807EA" w:rsidRPr="004807EA" w:rsidTr="007009CA">
        <w:tc>
          <w:tcPr>
            <w:tcW w:w="221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571" w:type="dxa"/>
          </w:tcPr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- Югры (далее - автономный округ) от 5 октября 2018 года N 360-п "О государственной программе Ханты-Мансийского автономного округа - Югры "Создание условий для эффективного управления муниципальными финансами"</w:t>
            </w:r>
          </w:p>
        </w:tc>
      </w:tr>
      <w:tr w:rsidR="004807EA" w:rsidRPr="004807EA" w:rsidTr="007009CA">
        <w:tc>
          <w:tcPr>
            <w:tcW w:w="221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571" w:type="dxa"/>
          </w:tcPr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финансов автономного округа (далее - </w:t>
            </w:r>
            <w:proofErr w:type="spellStart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Депфин</w:t>
            </w:r>
            <w:proofErr w:type="spellEnd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 Югры)</w:t>
            </w:r>
          </w:p>
        </w:tc>
      </w:tr>
      <w:tr w:rsidR="004807EA" w:rsidRPr="004807EA" w:rsidTr="007009CA">
        <w:trPr>
          <w:trHeight w:val="1103"/>
        </w:trPr>
        <w:tc>
          <w:tcPr>
            <w:tcW w:w="221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571" w:type="dxa"/>
          </w:tcPr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внутренней политики автономного округа (далее - </w:t>
            </w:r>
            <w:proofErr w:type="spellStart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Депполитики</w:t>
            </w:r>
            <w:proofErr w:type="spellEnd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 Югры);</w:t>
            </w:r>
          </w:p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экономического развития автономного округа (далее - </w:t>
            </w:r>
            <w:proofErr w:type="spellStart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Депэкономики</w:t>
            </w:r>
            <w:proofErr w:type="spellEnd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 Югры)</w:t>
            </w:r>
          </w:p>
        </w:tc>
      </w:tr>
      <w:tr w:rsidR="004807EA" w:rsidRPr="004807EA" w:rsidTr="007009CA">
        <w:tc>
          <w:tcPr>
            <w:tcW w:w="221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571" w:type="dxa"/>
          </w:tcPr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Содействие устойчивому исполнению бюджетов муниципальных образований автономного округа и повышению эффективности муниципального управления</w:t>
            </w:r>
          </w:p>
        </w:tc>
      </w:tr>
      <w:tr w:rsidR="004807EA" w:rsidRPr="004807EA" w:rsidTr="007009CA">
        <w:tc>
          <w:tcPr>
            <w:tcW w:w="221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571" w:type="dxa"/>
          </w:tcPr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1. Поддержание устойчивости исполнения местных бюджетов</w:t>
            </w:r>
          </w:p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2. Содействие повышению эффективности муниципального управления</w:t>
            </w:r>
          </w:p>
        </w:tc>
      </w:tr>
      <w:tr w:rsidR="004807EA" w:rsidRPr="004807EA" w:rsidTr="007009CA">
        <w:tc>
          <w:tcPr>
            <w:tcW w:w="221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Подпрограммы или основные мероприятия</w:t>
            </w:r>
          </w:p>
        </w:tc>
        <w:tc>
          <w:tcPr>
            <w:tcW w:w="7571" w:type="dxa"/>
          </w:tcPr>
          <w:p w:rsidR="004807EA" w:rsidRPr="004807EA" w:rsidRDefault="007009C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04" w:history="1">
              <w:r w:rsidR="004807EA" w:rsidRPr="004807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1</w:t>
              </w:r>
            </w:hyperlink>
            <w:r w:rsidR="004807EA"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 "Выравнивание финансовых возможностей и содействие сбалансированности местных бюджетов"</w:t>
            </w:r>
          </w:p>
          <w:p w:rsidR="004807EA" w:rsidRPr="004807EA" w:rsidRDefault="007009C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525" w:history="1">
              <w:r w:rsidR="004807EA" w:rsidRPr="004807EA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Подпрограмма 2</w:t>
              </w:r>
            </w:hyperlink>
            <w:r w:rsidR="004807EA"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 "Повышение эффективности деятельности органов местного самоуправления и качества управления муниципальными финансами в муниципальных образованиях автономного округа"</w:t>
            </w:r>
          </w:p>
        </w:tc>
      </w:tr>
      <w:tr w:rsidR="004807EA" w:rsidRPr="004807EA" w:rsidTr="007009CA">
        <w:tc>
          <w:tcPr>
            <w:tcW w:w="221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входящие в состав государственной программы, в том числе направленные на </w:t>
            </w:r>
            <w:r w:rsidRPr="00480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757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7EA" w:rsidRPr="004807EA" w:rsidTr="007009CA">
        <w:tc>
          <w:tcPr>
            <w:tcW w:w="2211" w:type="dxa"/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государственной программы</w:t>
            </w:r>
          </w:p>
        </w:tc>
        <w:tc>
          <w:tcPr>
            <w:tcW w:w="7571" w:type="dxa"/>
          </w:tcPr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1. Сокращение в уровнях бюджетной обеспеченности между 5 наиболее и 5 наименее обеспеченными муниципальными районами (городскими округами) после предоставления дотации на выравнивание бюджетной обеспеченности с 1,4 раза до 1,3 раза</w:t>
            </w:r>
          </w:p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2. Обеспечение доли городских и сельских поселений, уровень расчетной бюджетной обеспеченности которых после предоставления дотации на выравнивание бюджетной обеспеченности из бюджета муниципального района составляет более 90% от установленного критерия выравнивания поселений, на уровне не менее 100%</w:t>
            </w:r>
          </w:p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Увеличение доли субсидий из бюджета автономного округа бюджетам городских округов и муниципальных районов автономного округа, распределение которых между муниципальными образованиями автономного округа утверждено приложениями к закону о бюджете автономного округа на очередной финансовый год и плановый период, в общем количестве субсидий из бюджета автономного округа бюджетам муниципальных образований автономного округа, за исключением субсидий, распределяемых на конкурсной основе, с 90% до</w:t>
            </w:r>
            <w:proofErr w:type="gramEnd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4. Увеличение количества гостей административного центра в связи с проводимыми масштабными мероприятиями со 114,0 до 117,0 тыс. человек</w:t>
            </w:r>
          </w:p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5. Обеспечение доли реализованных проектов, направленных на содействие развитию исторических и иных местных традиций в населенных пунктах, районах автономного округа, в которых проведены мероприятия в связи с наступившими юбилейными датами, к аналогичным проектам, отобранным по результатам конкурса на условиях инициативного бюджетирования, на уровне не менее 100%</w:t>
            </w:r>
          </w:p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6. Достижение </w:t>
            </w:r>
            <w:proofErr w:type="gramStart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коэффициента комплексной оценки эффективности деятельности органов местного самоуправления городских округов</w:t>
            </w:r>
            <w:proofErr w:type="gramEnd"/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 и муниципальных районов автономного округа свыше 0,4 ед.</w:t>
            </w:r>
          </w:p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7. Рост средней итоговой оценки качества организации и осуществления бюджетного процесса в городских округах и муниципальных районах автономного округа с 88 баллов до 90 баллов</w:t>
            </w:r>
          </w:p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>8. Увеличение уровня софинансирования проектов инициативного бюджетирования со стороны граждан, индивидуальных предпринимателей и юридических лиц, за исключением проектов, реализованных с привлечением средств федерального бюджета, средств бюджета автономного округа, с 5 до 15%</w:t>
            </w:r>
          </w:p>
        </w:tc>
      </w:tr>
      <w:tr w:rsidR="004807EA" w:rsidRPr="004807EA" w:rsidTr="007009CA">
        <w:tc>
          <w:tcPr>
            <w:tcW w:w="2211" w:type="dxa"/>
            <w:tcBorders>
              <w:bottom w:val="single" w:sz="4" w:space="0" w:color="auto"/>
            </w:tcBorders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государственной программы </w:t>
            </w:r>
            <w:r w:rsidRPr="00480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(разрабатывается на срок от трех лет)</w:t>
            </w:r>
          </w:p>
        </w:tc>
        <w:tc>
          <w:tcPr>
            <w:tcW w:w="7571" w:type="dxa"/>
            <w:tcBorders>
              <w:bottom w:val="single" w:sz="4" w:space="0" w:color="auto"/>
            </w:tcBorders>
          </w:tcPr>
          <w:p w:rsidR="004807EA" w:rsidRPr="004807EA" w:rsidRDefault="004807EA" w:rsidP="00D06E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2019 - 2025 годы и на период до 2030 года</w:t>
            </w:r>
          </w:p>
        </w:tc>
      </w:tr>
      <w:tr w:rsidR="004807EA" w:rsidRPr="004807EA" w:rsidTr="007009CA">
        <w:tblPrEx>
          <w:tblBorders>
            <w:insideH w:val="nil"/>
          </w:tblBorders>
        </w:tblPrEx>
        <w:tc>
          <w:tcPr>
            <w:tcW w:w="2211" w:type="dxa"/>
            <w:tcBorders>
              <w:top w:val="single" w:sz="4" w:space="0" w:color="auto"/>
              <w:bottom w:val="single" w:sz="4" w:space="0" w:color="auto"/>
            </w:tcBorders>
          </w:tcPr>
          <w:p w:rsidR="004807EA" w:rsidRPr="004807EA" w:rsidRDefault="004807EA" w:rsidP="00D06E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Параметры финансового обеспечения государственной программы</w:t>
            </w:r>
          </w:p>
        </w:tc>
        <w:tc>
          <w:tcPr>
            <w:tcW w:w="7571" w:type="dxa"/>
            <w:tcBorders>
              <w:top w:val="single" w:sz="4" w:space="0" w:color="auto"/>
              <w:bottom w:val="single" w:sz="4" w:space="0" w:color="auto"/>
            </w:tcBorders>
          </w:tcPr>
          <w:p w:rsidR="00DD6C11" w:rsidRPr="00DD6C11" w:rsidRDefault="004807EA" w:rsidP="00DD6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7E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государственной программы составляет </w:t>
            </w:r>
            <w:r w:rsidR="00DD6C11" w:rsidRPr="00DD6C11">
              <w:rPr>
                <w:rFonts w:ascii="Times New Roman" w:hAnsi="Times New Roman" w:cs="Times New Roman"/>
                <w:sz w:val="24"/>
                <w:szCs w:val="24"/>
              </w:rPr>
              <w:t>220 744 162,4 тыс. рублей, из них:</w:t>
            </w:r>
          </w:p>
          <w:p w:rsidR="00DD6C11" w:rsidRPr="00DD6C11" w:rsidRDefault="00DD6C11" w:rsidP="00DD6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11">
              <w:rPr>
                <w:rFonts w:ascii="Times New Roman" w:hAnsi="Times New Roman" w:cs="Times New Roman"/>
                <w:sz w:val="24"/>
                <w:szCs w:val="24"/>
              </w:rPr>
              <w:t>в 2019 году - 11 124 317,8 тыс. рублей;</w:t>
            </w:r>
          </w:p>
          <w:p w:rsidR="00DD6C11" w:rsidRPr="00DD6C11" w:rsidRDefault="00DD6C11" w:rsidP="00DD6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11">
              <w:rPr>
                <w:rFonts w:ascii="Times New Roman" w:hAnsi="Times New Roman" w:cs="Times New Roman"/>
                <w:sz w:val="24"/>
                <w:szCs w:val="24"/>
              </w:rPr>
              <w:t>в 2020 году – 11 634 102,8 тыс. рублей;</w:t>
            </w:r>
          </w:p>
          <w:p w:rsidR="00DD6C11" w:rsidRPr="00DD6C11" w:rsidRDefault="00DD6C11" w:rsidP="00DD6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11">
              <w:rPr>
                <w:rFonts w:ascii="Times New Roman" w:hAnsi="Times New Roman" w:cs="Times New Roman"/>
                <w:sz w:val="24"/>
                <w:szCs w:val="24"/>
              </w:rPr>
              <w:t>в 2021 году – 13 860 408,4 тыс. рублей;</w:t>
            </w:r>
          </w:p>
          <w:p w:rsidR="00DD6C11" w:rsidRPr="00DD6C11" w:rsidRDefault="00DD6C11" w:rsidP="00DD6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11">
              <w:rPr>
                <w:rFonts w:ascii="Times New Roman" w:hAnsi="Times New Roman" w:cs="Times New Roman"/>
                <w:sz w:val="24"/>
                <w:szCs w:val="24"/>
              </w:rPr>
              <w:t>в 2022 году – 14 713 694,9 тыс. рублей;</w:t>
            </w:r>
          </w:p>
          <w:p w:rsidR="00DD6C11" w:rsidRPr="00DD6C11" w:rsidRDefault="00DD6C11" w:rsidP="00DD6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11">
              <w:rPr>
                <w:rFonts w:ascii="Times New Roman" w:hAnsi="Times New Roman" w:cs="Times New Roman"/>
                <w:sz w:val="24"/>
                <w:szCs w:val="24"/>
              </w:rPr>
              <w:t>в 2023 году – 21 178 828,5 тыс. рублей;</w:t>
            </w:r>
          </w:p>
          <w:p w:rsidR="00DD6C11" w:rsidRPr="00DD6C11" w:rsidRDefault="00DD6C11" w:rsidP="00DD6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11">
              <w:rPr>
                <w:rFonts w:ascii="Times New Roman" w:hAnsi="Times New Roman" w:cs="Times New Roman"/>
                <w:sz w:val="24"/>
                <w:szCs w:val="24"/>
              </w:rPr>
              <w:t>в 2024 году – 21 185 091,1 тыс. рублей;</w:t>
            </w:r>
          </w:p>
          <w:p w:rsidR="00DD6C11" w:rsidRPr="00DD6C11" w:rsidRDefault="00DD6C11" w:rsidP="00DD6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11">
              <w:rPr>
                <w:rFonts w:ascii="Times New Roman" w:hAnsi="Times New Roman" w:cs="Times New Roman"/>
                <w:sz w:val="24"/>
                <w:szCs w:val="24"/>
              </w:rPr>
              <w:t>в 2025 году – 21 185 798,2 тыс. рублей;</w:t>
            </w:r>
          </w:p>
          <w:p w:rsidR="004807EA" w:rsidRPr="004807EA" w:rsidRDefault="00DD6C11" w:rsidP="00DD6C1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C11">
              <w:rPr>
                <w:rFonts w:ascii="Times New Roman" w:hAnsi="Times New Roman" w:cs="Times New Roman"/>
                <w:sz w:val="24"/>
                <w:szCs w:val="24"/>
              </w:rPr>
              <w:t>в 2026 - 2030 годах – 105 861 920,2 тыс. рублей</w:t>
            </w:r>
            <w:bookmarkStart w:id="0" w:name="_GoBack"/>
            <w:bookmarkEnd w:id="0"/>
          </w:p>
        </w:tc>
      </w:tr>
    </w:tbl>
    <w:p w:rsidR="002047DE" w:rsidRDefault="007009CA" w:rsidP="004807EA"/>
    <w:sectPr w:rsidR="002047DE" w:rsidSect="007009CA">
      <w:headerReference w:type="default" r:id="rId7"/>
      <w:pgSz w:w="11906" w:h="16838"/>
      <w:pgMar w:top="993" w:right="850" w:bottom="1134" w:left="1701" w:header="708" w:footer="708" w:gutter="0"/>
      <w:pgNumType w:start="29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9CA" w:rsidRDefault="007009CA" w:rsidP="007009CA">
      <w:pPr>
        <w:spacing w:after="0" w:line="240" w:lineRule="auto"/>
      </w:pPr>
      <w:r>
        <w:separator/>
      </w:r>
    </w:p>
  </w:endnote>
  <w:endnote w:type="continuationSeparator" w:id="0">
    <w:p w:rsidR="007009CA" w:rsidRDefault="007009CA" w:rsidP="0070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9CA" w:rsidRDefault="007009CA" w:rsidP="007009CA">
      <w:pPr>
        <w:spacing w:after="0" w:line="240" w:lineRule="auto"/>
      </w:pPr>
      <w:r>
        <w:separator/>
      </w:r>
    </w:p>
  </w:footnote>
  <w:footnote w:type="continuationSeparator" w:id="0">
    <w:p w:rsidR="007009CA" w:rsidRDefault="007009CA" w:rsidP="00700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3781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09CA" w:rsidRPr="007009CA" w:rsidRDefault="007009CA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009C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09C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09C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2912</w:t>
        </w:r>
        <w:r w:rsidRPr="007009C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009CA" w:rsidRDefault="007009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EA"/>
    <w:rsid w:val="004807EA"/>
    <w:rsid w:val="007009CA"/>
    <w:rsid w:val="00B641F5"/>
    <w:rsid w:val="00DD6C11"/>
    <w:rsid w:val="00FD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9CA"/>
  </w:style>
  <w:style w:type="paragraph" w:styleId="a5">
    <w:name w:val="footer"/>
    <w:basedOn w:val="a"/>
    <w:link w:val="a6"/>
    <w:uiPriority w:val="99"/>
    <w:unhideWhenUsed/>
    <w:rsid w:val="00700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00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9CA"/>
  </w:style>
  <w:style w:type="paragraph" w:styleId="a5">
    <w:name w:val="footer"/>
    <w:basedOn w:val="a"/>
    <w:link w:val="a6"/>
    <w:uiPriority w:val="99"/>
    <w:unhideWhenUsed/>
    <w:rsid w:val="00700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Бетехтина Ксения Александровна</dc:creator>
  <cp:lastModifiedBy>Шубная  Юлия  Петровна</cp:lastModifiedBy>
  <cp:revision>3</cp:revision>
  <dcterms:created xsi:type="dcterms:W3CDTF">2019-10-11T04:20:00Z</dcterms:created>
  <dcterms:modified xsi:type="dcterms:W3CDTF">2019-10-21T06:01:00Z</dcterms:modified>
</cp:coreProperties>
</file>